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F27A9" w14:textId="77777777" w:rsidR="00D70624" w:rsidRPr="00D70624" w:rsidRDefault="00D70624" w:rsidP="00D70624">
      <w:pPr>
        <w:pStyle w:val="Default"/>
      </w:pPr>
    </w:p>
    <w:p w14:paraId="49CC3A81" w14:textId="77777777" w:rsidR="00D70624" w:rsidRPr="00D70624" w:rsidRDefault="00D70624" w:rsidP="00D70624">
      <w:pPr>
        <w:pStyle w:val="Default"/>
        <w:jc w:val="center"/>
        <w:rPr>
          <w:b/>
          <w:bCs/>
          <w:sz w:val="79"/>
          <w:szCs w:val="79"/>
        </w:rPr>
      </w:pPr>
    </w:p>
    <w:p w14:paraId="389924EE" w14:textId="77777777" w:rsidR="00D70624" w:rsidRPr="00D70624" w:rsidRDefault="00D70624" w:rsidP="00D70624">
      <w:pPr>
        <w:pStyle w:val="Default"/>
        <w:jc w:val="center"/>
        <w:rPr>
          <w:b/>
          <w:bCs/>
          <w:sz w:val="79"/>
          <w:szCs w:val="79"/>
        </w:rPr>
      </w:pPr>
    </w:p>
    <w:p w14:paraId="12217828" w14:textId="3AED31B8" w:rsidR="00D70624" w:rsidRDefault="00D70624" w:rsidP="00D70624">
      <w:pPr>
        <w:pStyle w:val="Default"/>
        <w:jc w:val="center"/>
        <w:rPr>
          <w:b/>
          <w:bCs/>
          <w:sz w:val="79"/>
          <w:szCs w:val="79"/>
        </w:rPr>
      </w:pPr>
      <w:r w:rsidRPr="00D70624">
        <w:rPr>
          <w:b/>
          <w:bCs/>
          <w:sz w:val="79"/>
          <w:szCs w:val="79"/>
        </w:rPr>
        <w:t>PINC COLLEGE</w:t>
      </w:r>
    </w:p>
    <w:p w14:paraId="53E64BDA" w14:textId="77777777" w:rsidR="00D70624" w:rsidRPr="00D70624" w:rsidRDefault="00D70624" w:rsidP="00D70624">
      <w:pPr>
        <w:pStyle w:val="Default"/>
        <w:jc w:val="center"/>
        <w:rPr>
          <w:b/>
          <w:bCs/>
          <w:sz w:val="79"/>
          <w:szCs w:val="79"/>
        </w:rPr>
      </w:pPr>
      <w:r w:rsidRPr="00D70624">
        <w:rPr>
          <w:b/>
          <w:bCs/>
          <w:sz w:val="79"/>
          <w:szCs w:val="79"/>
        </w:rPr>
        <w:t>FREE COLLEGE MEALS</w:t>
      </w:r>
    </w:p>
    <w:p w14:paraId="290B5074" w14:textId="08197691" w:rsidR="00D70624" w:rsidRPr="00D70624" w:rsidRDefault="00D70624" w:rsidP="00D70624">
      <w:pPr>
        <w:pStyle w:val="Default"/>
        <w:jc w:val="center"/>
        <w:rPr>
          <w:sz w:val="79"/>
          <w:szCs w:val="79"/>
        </w:rPr>
      </w:pPr>
      <w:r w:rsidRPr="00D70624">
        <w:rPr>
          <w:b/>
          <w:bCs/>
          <w:sz w:val="79"/>
          <w:szCs w:val="79"/>
        </w:rPr>
        <w:t>POLICY</w:t>
      </w:r>
    </w:p>
    <w:p w14:paraId="16DE7AEF" w14:textId="77777777" w:rsidR="00D70624" w:rsidRPr="00D70624" w:rsidRDefault="00D70624" w:rsidP="00D70624">
      <w:pPr>
        <w:pStyle w:val="Default"/>
        <w:jc w:val="center"/>
        <w:rPr>
          <w:b/>
          <w:bCs/>
          <w:sz w:val="48"/>
          <w:szCs w:val="48"/>
        </w:rPr>
      </w:pPr>
    </w:p>
    <w:p w14:paraId="1ADAE1C1" w14:textId="77777777" w:rsidR="00D70624" w:rsidRPr="00D70624" w:rsidRDefault="00D70624" w:rsidP="00D70624">
      <w:pPr>
        <w:pStyle w:val="Default"/>
        <w:jc w:val="center"/>
        <w:rPr>
          <w:b/>
          <w:bCs/>
          <w:sz w:val="48"/>
          <w:szCs w:val="48"/>
        </w:rPr>
      </w:pPr>
      <w:r w:rsidRPr="00D70624">
        <w:rPr>
          <w:noProof/>
          <w:sz w:val="48"/>
          <w:szCs w:val="48"/>
        </w:rPr>
        <w:drawing>
          <wp:inline distT="0" distB="0" distL="0" distR="0" wp14:anchorId="2145708F" wp14:editId="7FFBEBF2">
            <wp:extent cx="3731260" cy="3697775"/>
            <wp:effectExtent l="0" t="0" r="2540" b="0"/>
            <wp:docPr id="256845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4951" cy="3701433"/>
                    </a:xfrm>
                    <a:prstGeom prst="rect">
                      <a:avLst/>
                    </a:prstGeom>
                    <a:noFill/>
                    <a:ln>
                      <a:noFill/>
                    </a:ln>
                  </pic:spPr>
                </pic:pic>
              </a:graphicData>
            </a:graphic>
          </wp:inline>
        </w:drawing>
      </w:r>
    </w:p>
    <w:p w14:paraId="34B9D42F" w14:textId="77777777" w:rsidR="00D70624" w:rsidRPr="00D70624" w:rsidRDefault="00D70624" w:rsidP="00D70624">
      <w:pPr>
        <w:pStyle w:val="Default"/>
        <w:jc w:val="center"/>
        <w:rPr>
          <w:b/>
          <w:bCs/>
          <w:sz w:val="48"/>
          <w:szCs w:val="48"/>
        </w:rPr>
      </w:pPr>
    </w:p>
    <w:p w14:paraId="321A3547" w14:textId="5A136295" w:rsidR="00D70624" w:rsidRPr="00D70624" w:rsidRDefault="00D70624" w:rsidP="00D70624">
      <w:pPr>
        <w:pStyle w:val="Default"/>
        <w:jc w:val="center"/>
        <w:rPr>
          <w:b/>
          <w:bCs/>
          <w:sz w:val="48"/>
          <w:szCs w:val="48"/>
        </w:rPr>
      </w:pPr>
      <w:r w:rsidRPr="00D70624">
        <w:rPr>
          <w:b/>
          <w:bCs/>
          <w:sz w:val="48"/>
          <w:szCs w:val="48"/>
        </w:rPr>
        <w:t>July 2024</w:t>
      </w:r>
    </w:p>
    <w:p w14:paraId="4B47F97E" w14:textId="77777777" w:rsidR="00D70624" w:rsidRPr="00D70624" w:rsidRDefault="00D70624" w:rsidP="00D70624">
      <w:pPr>
        <w:pStyle w:val="Default"/>
        <w:rPr>
          <w:b/>
          <w:bCs/>
          <w:sz w:val="48"/>
          <w:szCs w:val="48"/>
        </w:rPr>
      </w:pPr>
    </w:p>
    <w:p w14:paraId="3317CDF0" w14:textId="519A7177" w:rsidR="00D70624" w:rsidRPr="00D70624" w:rsidRDefault="00D70624" w:rsidP="00D70624">
      <w:pPr>
        <w:pStyle w:val="Default"/>
        <w:jc w:val="center"/>
        <w:rPr>
          <w:sz w:val="48"/>
          <w:szCs w:val="48"/>
        </w:rPr>
      </w:pPr>
    </w:p>
    <w:p w14:paraId="28802F14" w14:textId="77777777" w:rsidR="00D70624" w:rsidRPr="00D70624" w:rsidRDefault="00D70624" w:rsidP="00D70624">
      <w:pPr>
        <w:pStyle w:val="Default"/>
        <w:rPr>
          <w:color w:val="auto"/>
        </w:rPr>
        <w:sectPr w:rsidR="00D70624" w:rsidRPr="00D70624" w:rsidSect="00D70624">
          <w:footerReference w:type="even" r:id="rId11"/>
          <w:footerReference w:type="default" r:id="rId12"/>
          <w:footerReference w:type="first" r:id="rId13"/>
          <w:pgSz w:w="11904" w:h="17338"/>
          <w:pgMar w:top="664" w:right="99" w:bottom="206" w:left="200"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p>
    <w:p w14:paraId="61E6A813" w14:textId="1487D913" w:rsidR="00D70624" w:rsidRPr="00D70624" w:rsidRDefault="00D70624" w:rsidP="00D70624">
      <w:pPr>
        <w:jc w:val="center"/>
        <w:rPr>
          <w:rFonts w:ascii="Calibri" w:hAnsi="Calibri" w:cs="Calibri"/>
          <w:b/>
          <w:bCs/>
        </w:rPr>
      </w:pPr>
      <w:r w:rsidRPr="00D70624">
        <w:rPr>
          <w:rFonts w:ascii="Calibri" w:hAnsi="Calibri" w:cs="Calibri"/>
          <w:b/>
          <w:bCs/>
        </w:rPr>
        <w:lastRenderedPageBreak/>
        <w:t>CONTENTS</w:t>
      </w:r>
    </w:p>
    <w:p w14:paraId="453CB341" w14:textId="77777777" w:rsidR="00D70624" w:rsidRPr="00D70624" w:rsidRDefault="00D70624" w:rsidP="00D70624">
      <w:pPr>
        <w:jc w:val="center"/>
        <w:rPr>
          <w:rFonts w:ascii="Calibri" w:hAnsi="Calibri" w:cs="Calibri"/>
        </w:rPr>
      </w:pPr>
    </w:p>
    <w:p w14:paraId="1630D060" w14:textId="3A9F6CFE" w:rsidR="00D70624" w:rsidRPr="00D70624" w:rsidRDefault="00D70624" w:rsidP="00D70624">
      <w:pPr>
        <w:jc w:val="center"/>
        <w:rPr>
          <w:rFonts w:ascii="Calibri" w:hAnsi="Calibri" w:cs="Calibri"/>
        </w:rPr>
      </w:pPr>
      <w:r w:rsidRPr="00D70624">
        <w:rPr>
          <w:rFonts w:ascii="Calibri" w:hAnsi="Calibri" w:cs="Calibri"/>
        </w:rPr>
        <w:t xml:space="preserve">Background </w:t>
      </w:r>
      <w:r w:rsidRPr="00D70624">
        <w:rPr>
          <w:rFonts w:ascii="Calibri" w:hAnsi="Calibri" w:cs="Calibri"/>
        </w:rPr>
        <w:tab/>
      </w:r>
      <w:r w:rsidRPr="00D70624">
        <w:rPr>
          <w:rFonts w:ascii="Calibri" w:hAnsi="Calibri" w:cs="Calibri"/>
        </w:rPr>
        <w:tab/>
      </w:r>
      <w:r w:rsidRPr="00D70624">
        <w:rPr>
          <w:rFonts w:ascii="Calibri" w:hAnsi="Calibri" w:cs="Calibri"/>
        </w:rPr>
        <w:tab/>
        <w:t>3</w:t>
      </w:r>
    </w:p>
    <w:p w14:paraId="69B6B290" w14:textId="112523DE" w:rsidR="00D70624" w:rsidRPr="00D70624" w:rsidRDefault="00D70624" w:rsidP="00D70624">
      <w:pPr>
        <w:jc w:val="center"/>
        <w:rPr>
          <w:rFonts w:ascii="Calibri" w:hAnsi="Calibri" w:cs="Calibri"/>
        </w:rPr>
      </w:pPr>
      <w:r w:rsidRPr="00D70624">
        <w:rPr>
          <w:rFonts w:ascii="Calibri" w:hAnsi="Calibri" w:cs="Calibri"/>
        </w:rPr>
        <w:t xml:space="preserve">Continuing Students </w:t>
      </w:r>
      <w:r w:rsidRPr="00D70624">
        <w:rPr>
          <w:rFonts w:ascii="Calibri" w:hAnsi="Calibri" w:cs="Calibri"/>
        </w:rPr>
        <w:tab/>
      </w:r>
      <w:r w:rsidRPr="00D70624">
        <w:rPr>
          <w:rFonts w:ascii="Calibri" w:hAnsi="Calibri" w:cs="Calibri"/>
        </w:rPr>
        <w:tab/>
        <w:t>3</w:t>
      </w:r>
    </w:p>
    <w:p w14:paraId="20ED274A" w14:textId="58DDBC16" w:rsidR="00D70624" w:rsidRPr="00D70624" w:rsidRDefault="00D70624" w:rsidP="00D70624">
      <w:pPr>
        <w:jc w:val="center"/>
        <w:rPr>
          <w:rFonts w:ascii="Calibri" w:hAnsi="Calibri" w:cs="Calibri"/>
        </w:rPr>
      </w:pPr>
      <w:r w:rsidRPr="00D70624">
        <w:rPr>
          <w:rFonts w:ascii="Calibri" w:hAnsi="Calibri" w:cs="Calibri"/>
        </w:rPr>
        <w:t xml:space="preserve">New Applications </w:t>
      </w:r>
      <w:r w:rsidRPr="00D70624">
        <w:rPr>
          <w:rFonts w:ascii="Calibri" w:hAnsi="Calibri" w:cs="Calibri"/>
        </w:rPr>
        <w:tab/>
      </w:r>
      <w:r w:rsidRPr="00D70624">
        <w:rPr>
          <w:rFonts w:ascii="Calibri" w:hAnsi="Calibri" w:cs="Calibri"/>
        </w:rPr>
        <w:tab/>
        <w:t>3</w:t>
      </w:r>
    </w:p>
    <w:p w14:paraId="450907B7" w14:textId="4D8579EC" w:rsidR="00D70624" w:rsidRPr="00D70624" w:rsidRDefault="00D70624" w:rsidP="00D70624">
      <w:pPr>
        <w:jc w:val="center"/>
        <w:rPr>
          <w:rFonts w:ascii="Calibri" w:hAnsi="Calibri" w:cs="Calibri"/>
        </w:rPr>
      </w:pPr>
      <w:r w:rsidRPr="00D70624">
        <w:rPr>
          <w:rFonts w:ascii="Calibri" w:hAnsi="Calibri" w:cs="Calibri"/>
        </w:rPr>
        <w:t xml:space="preserve">Eligible Benefits </w:t>
      </w:r>
      <w:r w:rsidRPr="00D70624">
        <w:rPr>
          <w:rFonts w:ascii="Calibri" w:hAnsi="Calibri" w:cs="Calibri"/>
        </w:rPr>
        <w:tab/>
      </w:r>
      <w:r w:rsidRPr="00D70624">
        <w:rPr>
          <w:rFonts w:ascii="Calibri" w:hAnsi="Calibri" w:cs="Calibri"/>
        </w:rPr>
        <w:tab/>
        <w:t>4</w:t>
      </w:r>
    </w:p>
    <w:p w14:paraId="2B9C91BB" w14:textId="27809E37" w:rsidR="00612139" w:rsidRDefault="00D70624" w:rsidP="00D70624">
      <w:pPr>
        <w:jc w:val="center"/>
        <w:rPr>
          <w:rFonts w:ascii="Calibri" w:hAnsi="Calibri" w:cs="Calibri"/>
        </w:rPr>
      </w:pPr>
      <w:r w:rsidRPr="00D70624">
        <w:rPr>
          <w:rFonts w:ascii="Calibri" w:hAnsi="Calibri" w:cs="Calibri"/>
        </w:rPr>
        <w:t xml:space="preserve">Application Process </w:t>
      </w:r>
      <w:r w:rsidRPr="00D70624">
        <w:rPr>
          <w:rFonts w:ascii="Calibri" w:hAnsi="Calibri" w:cs="Calibri"/>
        </w:rPr>
        <w:tab/>
      </w:r>
      <w:r w:rsidRPr="00D70624">
        <w:rPr>
          <w:rFonts w:ascii="Calibri" w:hAnsi="Calibri" w:cs="Calibri"/>
        </w:rPr>
        <w:tab/>
        <w:t>5</w:t>
      </w:r>
    </w:p>
    <w:p w14:paraId="74DC224D" w14:textId="77777777" w:rsidR="00D70624" w:rsidRDefault="00D70624" w:rsidP="00D70624">
      <w:pPr>
        <w:jc w:val="center"/>
        <w:rPr>
          <w:rFonts w:ascii="Calibri" w:hAnsi="Calibri" w:cs="Calibri"/>
        </w:rPr>
      </w:pPr>
    </w:p>
    <w:p w14:paraId="3714D604" w14:textId="35632348" w:rsidR="00D70624" w:rsidRDefault="00D70624">
      <w:pPr>
        <w:rPr>
          <w:rFonts w:ascii="Calibri" w:hAnsi="Calibri" w:cs="Calibri"/>
        </w:rPr>
      </w:pPr>
      <w:r>
        <w:rPr>
          <w:rFonts w:ascii="Calibri" w:hAnsi="Calibri" w:cs="Calibri"/>
        </w:rPr>
        <w:br w:type="page"/>
      </w:r>
    </w:p>
    <w:p w14:paraId="725E6BAF" w14:textId="77777777" w:rsidR="00D70624" w:rsidRPr="00D70624" w:rsidRDefault="00D70624" w:rsidP="00D70624">
      <w:pPr>
        <w:autoSpaceDE w:val="0"/>
        <w:autoSpaceDN w:val="0"/>
        <w:adjustRightInd w:val="0"/>
        <w:spacing w:after="0" w:line="240" w:lineRule="auto"/>
        <w:rPr>
          <w:rFonts w:ascii="MarkPro-Light" w:hAnsi="MarkPro-Light" w:cs="MarkPro-Light"/>
          <w:b/>
          <w:bCs/>
          <w:color w:val="000000"/>
          <w:sz w:val="24"/>
          <w:szCs w:val="24"/>
        </w:rPr>
      </w:pPr>
      <w:r w:rsidRPr="00D70624">
        <w:rPr>
          <w:rFonts w:ascii="MarkPro-Light" w:hAnsi="MarkPro-Light" w:cs="MarkPro-Light"/>
          <w:b/>
          <w:bCs/>
          <w:color w:val="000000"/>
          <w:sz w:val="24"/>
          <w:szCs w:val="24"/>
        </w:rPr>
        <w:lastRenderedPageBreak/>
        <w:t xml:space="preserve">Background </w:t>
      </w:r>
    </w:p>
    <w:p w14:paraId="7D3D86F4" w14:textId="77777777" w:rsidR="00D70624" w:rsidRPr="00D70624" w:rsidRDefault="00D70624" w:rsidP="00D70624">
      <w:pPr>
        <w:autoSpaceDE w:val="0"/>
        <w:autoSpaceDN w:val="0"/>
        <w:adjustRightInd w:val="0"/>
        <w:spacing w:after="0" w:line="240" w:lineRule="auto"/>
        <w:rPr>
          <w:rFonts w:ascii="MarkPro-Light" w:hAnsi="MarkPro-Light" w:cs="MarkPro-Light"/>
          <w:color w:val="000000"/>
          <w:sz w:val="24"/>
          <w:szCs w:val="24"/>
        </w:rPr>
      </w:pPr>
    </w:p>
    <w:p w14:paraId="2B560CF0" w14:textId="2B47CA7F" w:rsidR="00D70624" w:rsidRPr="00D70624" w:rsidRDefault="00D70624" w:rsidP="00D70624">
      <w:pPr>
        <w:autoSpaceDE w:val="0"/>
        <w:autoSpaceDN w:val="0"/>
        <w:adjustRightInd w:val="0"/>
        <w:spacing w:after="0" w:line="240" w:lineRule="auto"/>
        <w:rPr>
          <w:rFonts w:ascii="MarkPro-Light" w:hAnsi="MarkPro-Light" w:cs="MarkPro-Light"/>
          <w:color w:val="000000"/>
          <w:sz w:val="24"/>
          <w:szCs w:val="24"/>
        </w:rPr>
      </w:pPr>
      <w:r w:rsidRPr="00D70624">
        <w:rPr>
          <w:rFonts w:ascii="MarkPro-Light" w:hAnsi="MarkPro-Light" w:cs="MarkPro-Light"/>
          <w:color w:val="000000"/>
          <w:sz w:val="24"/>
          <w:szCs w:val="24"/>
        </w:rPr>
        <w:t>The Department for Education provides funding for the provision of free meals for students who qualify for the assistance. For the 202</w:t>
      </w:r>
      <w:r w:rsidR="00135E34">
        <w:rPr>
          <w:rFonts w:ascii="MarkPro-Light" w:hAnsi="MarkPro-Light" w:cs="MarkPro-Light"/>
          <w:color w:val="000000"/>
          <w:sz w:val="24"/>
          <w:szCs w:val="24"/>
        </w:rPr>
        <w:t>4</w:t>
      </w:r>
      <w:r w:rsidRPr="00D70624">
        <w:rPr>
          <w:rFonts w:ascii="MarkPro-Light" w:hAnsi="MarkPro-Light" w:cs="MarkPro-Light"/>
          <w:color w:val="000000"/>
          <w:sz w:val="24"/>
          <w:szCs w:val="24"/>
        </w:rPr>
        <w:t xml:space="preserve"> to 202</w:t>
      </w:r>
      <w:r w:rsidR="00135E34">
        <w:rPr>
          <w:rFonts w:ascii="MarkPro-Light" w:hAnsi="MarkPro-Light" w:cs="MarkPro-Light"/>
          <w:color w:val="000000"/>
          <w:sz w:val="24"/>
          <w:szCs w:val="24"/>
        </w:rPr>
        <w:t>5</w:t>
      </w:r>
      <w:r w:rsidRPr="00D70624">
        <w:rPr>
          <w:rFonts w:ascii="MarkPro-Light" w:hAnsi="MarkPro-Light" w:cs="MarkPro-Light"/>
          <w:color w:val="000000"/>
          <w:sz w:val="24"/>
          <w:szCs w:val="24"/>
        </w:rPr>
        <w:t xml:space="preserve"> academic year the rate set is £2.53 per student per meal taken. The meal is provided for the days where a student attends College over the lunchtime period or is on an external work-placement. </w:t>
      </w:r>
    </w:p>
    <w:p w14:paraId="1F3B307A" w14:textId="77777777" w:rsidR="00D70624" w:rsidRPr="00D70624" w:rsidRDefault="00D70624" w:rsidP="00D70624">
      <w:pPr>
        <w:autoSpaceDE w:val="0"/>
        <w:autoSpaceDN w:val="0"/>
        <w:adjustRightInd w:val="0"/>
        <w:spacing w:after="0" w:line="240" w:lineRule="auto"/>
        <w:rPr>
          <w:rFonts w:ascii="MarkPro-Light" w:hAnsi="MarkPro-Light" w:cs="MarkPro-Light"/>
          <w:color w:val="000000"/>
          <w:sz w:val="24"/>
          <w:szCs w:val="24"/>
        </w:rPr>
      </w:pPr>
      <w:r w:rsidRPr="00D70624">
        <w:rPr>
          <w:rFonts w:ascii="MarkPro-Light" w:hAnsi="MarkPro-Light" w:cs="MarkPro-Light"/>
          <w:color w:val="000000"/>
          <w:sz w:val="24"/>
          <w:szCs w:val="24"/>
        </w:rPr>
        <w:t xml:space="preserve">Where necessary, reasonable adjustments will be made for special dietary requirements. </w:t>
      </w:r>
    </w:p>
    <w:p w14:paraId="6C089562" w14:textId="77777777" w:rsidR="00D70624" w:rsidRPr="00D70624" w:rsidRDefault="00D70624" w:rsidP="00D70624">
      <w:pPr>
        <w:autoSpaceDE w:val="0"/>
        <w:autoSpaceDN w:val="0"/>
        <w:adjustRightInd w:val="0"/>
        <w:spacing w:after="0" w:line="240" w:lineRule="auto"/>
        <w:rPr>
          <w:rFonts w:ascii="MarkPro-Light" w:hAnsi="MarkPro-Light" w:cs="MarkPro-Light"/>
          <w:color w:val="000000"/>
          <w:sz w:val="24"/>
          <w:szCs w:val="24"/>
        </w:rPr>
      </w:pPr>
    </w:p>
    <w:p w14:paraId="1199A2A3" w14:textId="19642A08" w:rsidR="00D70624" w:rsidRPr="00D70624" w:rsidRDefault="00D70624" w:rsidP="00D70624">
      <w:pPr>
        <w:autoSpaceDE w:val="0"/>
        <w:autoSpaceDN w:val="0"/>
        <w:adjustRightInd w:val="0"/>
        <w:spacing w:after="0" w:line="240" w:lineRule="auto"/>
        <w:rPr>
          <w:rFonts w:ascii="MarkPro-Light" w:hAnsi="MarkPro-Light" w:cs="MarkPro-Light"/>
          <w:b/>
          <w:bCs/>
          <w:color w:val="000000"/>
          <w:sz w:val="24"/>
          <w:szCs w:val="24"/>
        </w:rPr>
      </w:pPr>
      <w:r w:rsidRPr="00D70624">
        <w:rPr>
          <w:rFonts w:ascii="MarkPro-Light" w:hAnsi="MarkPro-Light" w:cs="MarkPro-Light"/>
          <w:b/>
          <w:bCs/>
          <w:color w:val="000000"/>
          <w:sz w:val="24"/>
          <w:szCs w:val="24"/>
        </w:rPr>
        <w:t xml:space="preserve">Continuing Students </w:t>
      </w:r>
      <w:r w:rsidRPr="00D70624">
        <w:rPr>
          <w:rFonts w:ascii="MarkPro-Light" w:hAnsi="MarkPro-Light" w:cs="MarkPro-Light"/>
          <w:b/>
          <w:bCs/>
          <w:color w:val="000000"/>
          <w:sz w:val="24"/>
          <w:szCs w:val="24"/>
        </w:rPr>
        <w:br/>
      </w:r>
    </w:p>
    <w:p w14:paraId="374D541A" w14:textId="2057CE2F" w:rsidR="00D70624" w:rsidRPr="00D70624" w:rsidRDefault="00D70624" w:rsidP="00D70624">
      <w:pPr>
        <w:rPr>
          <w:rFonts w:ascii="MarkPro-Light" w:hAnsi="MarkPro-Light" w:cs="MarkPro-Light"/>
          <w:color w:val="000000"/>
          <w:sz w:val="24"/>
          <w:szCs w:val="24"/>
        </w:rPr>
      </w:pPr>
      <w:r w:rsidRPr="00D70624">
        <w:rPr>
          <w:rFonts w:ascii="MarkPro-Light" w:hAnsi="MarkPro-Light" w:cs="MarkPro-Light"/>
          <w:color w:val="000000"/>
          <w:sz w:val="24"/>
          <w:szCs w:val="24"/>
        </w:rPr>
        <w:t>Students who were already receiving a free meal at their school or College on or after 1 April 2018, will still be entitled to receive a free meal when they enrol at Pinc College. This applies even if your household earnings have risen above the universal credit thresholds. All students over the age of 19 must also have an Education Health and Care Plan. The College will ask your previous learning provider or your home local authority to provide confirmation of your eligibility.</w:t>
      </w:r>
    </w:p>
    <w:p w14:paraId="125D7B22" w14:textId="77777777" w:rsidR="00D70624" w:rsidRPr="00D70624" w:rsidRDefault="00D70624" w:rsidP="00D70624">
      <w:pPr>
        <w:rPr>
          <w:rFonts w:ascii="MarkPro-Light" w:hAnsi="MarkPro-Light" w:cs="MarkPro-Light"/>
          <w:color w:val="000000"/>
          <w:sz w:val="24"/>
          <w:szCs w:val="24"/>
        </w:rPr>
      </w:pPr>
    </w:p>
    <w:p w14:paraId="3F496860" w14:textId="77777777" w:rsidR="00D70624" w:rsidRPr="00D70624" w:rsidRDefault="00D70624" w:rsidP="00D70624">
      <w:pPr>
        <w:autoSpaceDE w:val="0"/>
        <w:autoSpaceDN w:val="0"/>
        <w:adjustRightInd w:val="0"/>
        <w:spacing w:after="0" w:line="240" w:lineRule="auto"/>
        <w:rPr>
          <w:rFonts w:ascii="MarkPro-Light" w:hAnsi="MarkPro-Light" w:cs="MarkPro-Light"/>
          <w:b/>
          <w:bCs/>
          <w:color w:val="000000"/>
          <w:sz w:val="24"/>
          <w:szCs w:val="24"/>
        </w:rPr>
      </w:pPr>
      <w:r w:rsidRPr="00D70624">
        <w:rPr>
          <w:rFonts w:ascii="MarkPro-Light" w:hAnsi="MarkPro-Light" w:cs="MarkPro-Light"/>
          <w:b/>
          <w:bCs/>
          <w:color w:val="000000"/>
          <w:sz w:val="24"/>
          <w:szCs w:val="24"/>
        </w:rPr>
        <w:t xml:space="preserve">New Applications </w:t>
      </w:r>
    </w:p>
    <w:p w14:paraId="70C4D006" w14:textId="77777777" w:rsidR="00D70624" w:rsidRPr="00D70624" w:rsidRDefault="00D70624" w:rsidP="00D70624">
      <w:pPr>
        <w:autoSpaceDE w:val="0"/>
        <w:autoSpaceDN w:val="0"/>
        <w:adjustRightInd w:val="0"/>
        <w:spacing w:after="0" w:line="240" w:lineRule="auto"/>
        <w:rPr>
          <w:rFonts w:ascii="MarkPro-Light" w:hAnsi="MarkPro-Light" w:cs="MarkPro-Light"/>
          <w:color w:val="000000"/>
          <w:sz w:val="24"/>
          <w:szCs w:val="24"/>
        </w:rPr>
      </w:pPr>
    </w:p>
    <w:p w14:paraId="4A6CB801" w14:textId="171B0DE6" w:rsidR="00D70624" w:rsidRPr="00D70624" w:rsidRDefault="00D70624" w:rsidP="00D70624">
      <w:pPr>
        <w:rPr>
          <w:rFonts w:ascii="MarkPro-Light" w:hAnsi="MarkPro-Light" w:cs="MarkPro-Light"/>
          <w:color w:val="000000"/>
          <w:sz w:val="24"/>
          <w:szCs w:val="24"/>
        </w:rPr>
      </w:pPr>
      <w:r w:rsidRPr="00D70624">
        <w:rPr>
          <w:rFonts w:ascii="MarkPro-Light" w:hAnsi="MarkPro-Light" w:cs="MarkPro-Light"/>
          <w:color w:val="000000"/>
          <w:sz w:val="24"/>
          <w:szCs w:val="24"/>
        </w:rPr>
        <w:t>Students who are applying for a free College meal for the first time in 202</w:t>
      </w:r>
      <w:r w:rsidR="00135E34">
        <w:rPr>
          <w:rFonts w:ascii="MarkPro-Light" w:hAnsi="MarkPro-Light" w:cs="MarkPro-Light"/>
          <w:color w:val="000000"/>
          <w:sz w:val="24"/>
          <w:szCs w:val="24"/>
        </w:rPr>
        <w:t>4</w:t>
      </w:r>
      <w:r w:rsidRPr="00D70624">
        <w:rPr>
          <w:rFonts w:ascii="MarkPro-Light" w:hAnsi="MarkPro-Light" w:cs="MarkPro-Light"/>
          <w:color w:val="000000"/>
          <w:sz w:val="24"/>
          <w:szCs w:val="24"/>
        </w:rPr>
        <w:t>-202</w:t>
      </w:r>
      <w:r w:rsidR="00135E34">
        <w:rPr>
          <w:rFonts w:ascii="MarkPro-Light" w:hAnsi="MarkPro-Light" w:cs="MarkPro-Light"/>
          <w:color w:val="000000"/>
          <w:sz w:val="24"/>
          <w:szCs w:val="24"/>
        </w:rPr>
        <w:t>5</w:t>
      </w:r>
      <w:r w:rsidRPr="00D70624">
        <w:rPr>
          <w:rFonts w:ascii="MarkPro-Light" w:hAnsi="MarkPro-Light" w:cs="MarkPro-Light"/>
          <w:color w:val="000000"/>
          <w:sz w:val="24"/>
          <w:szCs w:val="24"/>
        </w:rPr>
        <w:t xml:space="preserve"> must complete an application form. The application process requires students and/or parents and carers to provide evidence of benefits that they are receiving.</w:t>
      </w:r>
    </w:p>
    <w:p w14:paraId="065AEB40" w14:textId="77777777" w:rsidR="00D70624" w:rsidRPr="00D70624" w:rsidRDefault="00D70624" w:rsidP="00D70624">
      <w:pPr>
        <w:rPr>
          <w:rFonts w:ascii="MarkPro-Light" w:hAnsi="MarkPro-Light" w:cs="MarkPro-Light"/>
          <w:color w:val="000000"/>
          <w:sz w:val="24"/>
          <w:szCs w:val="24"/>
        </w:rPr>
      </w:pPr>
    </w:p>
    <w:p w14:paraId="16265FE2" w14:textId="77777777" w:rsidR="00D70624" w:rsidRPr="00D70624" w:rsidRDefault="00D70624" w:rsidP="00D70624">
      <w:pPr>
        <w:autoSpaceDE w:val="0"/>
        <w:autoSpaceDN w:val="0"/>
        <w:adjustRightInd w:val="0"/>
        <w:spacing w:after="0" w:line="240" w:lineRule="auto"/>
        <w:rPr>
          <w:rFonts w:ascii="MarkPro-Light" w:hAnsi="MarkPro-Light" w:cs="MarkPro-Light"/>
          <w:b/>
          <w:bCs/>
          <w:color w:val="000000"/>
          <w:sz w:val="24"/>
          <w:szCs w:val="24"/>
        </w:rPr>
      </w:pPr>
      <w:r w:rsidRPr="00D70624">
        <w:rPr>
          <w:rFonts w:ascii="MarkPro-Light" w:hAnsi="MarkPro-Light" w:cs="MarkPro-Light"/>
          <w:b/>
          <w:bCs/>
          <w:color w:val="000000"/>
          <w:sz w:val="24"/>
          <w:szCs w:val="24"/>
        </w:rPr>
        <w:t xml:space="preserve">Eligible Benefits </w:t>
      </w:r>
    </w:p>
    <w:p w14:paraId="59392F40" w14:textId="32AD39D7" w:rsidR="00D70624" w:rsidRPr="00D70624" w:rsidRDefault="00D70624" w:rsidP="00D70624">
      <w:pPr>
        <w:autoSpaceDE w:val="0"/>
        <w:autoSpaceDN w:val="0"/>
        <w:adjustRightInd w:val="0"/>
        <w:spacing w:after="0" w:line="240" w:lineRule="auto"/>
        <w:rPr>
          <w:rFonts w:ascii="MarkPro-Light" w:hAnsi="MarkPro-Light" w:cs="MarkPro-Light"/>
          <w:color w:val="0A0B0B"/>
          <w:sz w:val="24"/>
          <w:szCs w:val="24"/>
        </w:rPr>
      </w:pPr>
      <w:r w:rsidRPr="00D70624">
        <w:rPr>
          <w:rFonts w:ascii="MarkPro-Light" w:hAnsi="MarkPro-Light" w:cs="MarkPro-Light"/>
          <w:color w:val="0A0B0B"/>
          <w:sz w:val="24"/>
          <w:szCs w:val="24"/>
        </w:rPr>
        <w:br/>
        <w:t xml:space="preserve">Free meals are targeted at disadvantaged students. Free meals in FE defines disadvantage as students being in receipt of, or having parents who are in receipt of, one or more of the following benefits: </w:t>
      </w:r>
    </w:p>
    <w:p w14:paraId="4A7D217A" w14:textId="77777777" w:rsidR="00D70624" w:rsidRPr="00D70624" w:rsidRDefault="00D70624" w:rsidP="00D70624">
      <w:pPr>
        <w:autoSpaceDE w:val="0"/>
        <w:autoSpaceDN w:val="0"/>
        <w:adjustRightInd w:val="0"/>
        <w:spacing w:after="0" w:line="240" w:lineRule="auto"/>
        <w:rPr>
          <w:rFonts w:ascii="MarkPro-Light" w:hAnsi="MarkPro-Light" w:cs="MarkPro-Light"/>
          <w:color w:val="0A0B0B"/>
          <w:sz w:val="24"/>
          <w:szCs w:val="24"/>
        </w:rPr>
      </w:pPr>
    </w:p>
    <w:p w14:paraId="01D69567" w14:textId="458E4541" w:rsidR="00D70624" w:rsidRPr="00D70624" w:rsidRDefault="00D70624" w:rsidP="00D70624">
      <w:pPr>
        <w:pStyle w:val="ListParagraph"/>
        <w:numPr>
          <w:ilvl w:val="0"/>
          <w:numId w:val="2"/>
        </w:numPr>
        <w:autoSpaceDE w:val="0"/>
        <w:autoSpaceDN w:val="0"/>
        <w:adjustRightInd w:val="0"/>
        <w:spacing w:after="27" w:line="240" w:lineRule="auto"/>
        <w:rPr>
          <w:rFonts w:ascii="MarkPro-Light" w:hAnsi="MarkPro-Light" w:cs="MarkPro-Light"/>
          <w:color w:val="0A0B0B"/>
          <w:sz w:val="24"/>
          <w:szCs w:val="24"/>
        </w:rPr>
      </w:pPr>
      <w:r w:rsidRPr="00D70624">
        <w:rPr>
          <w:rFonts w:ascii="MarkPro-Light" w:hAnsi="MarkPro-Light" w:cs="MarkPro-Light"/>
          <w:color w:val="0A0B0B"/>
          <w:sz w:val="24"/>
          <w:szCs w:val="24"/>
        </w:rPr>
        <w:t xml:space="preserve">Income Support </w:t>
      </w:r>
    </w:p>
    <w:p w14:paraId="202E3A28" w14:textId="6FE05F19" w:rsidR="00D70624" w:rsidRPr="00D70624" w:rsidRDefault="00D70624" w:rsidP="00D70624">
      <w:pPr>
        <w:pStyle w:val="ListParagraph"/>
        <w:numPr>
          <w:ilvl w:val="0"/>
          <w:numId w:val="2"/>
        </w:numPr>
        <w:autoSpaceDE w:val="0"/>
        <w:autoSpaceDN w:val="0"/>
        <w:adjustRightInd w:val="0"/>
        <w:spacing w:after="27" w:line="240" w:lineRule="auto"/>
        <w:rPr>
          <w:rFonts w:ascii="MarkPro-Light" w:hAnsi="MarkPro-Light" w:cs="MarkPro-Light"/>
          <w:color w:val="0A0B0B"/>
          <w:sz w:val="24"/>
          <w:szCs w:val="24"/>
        </w:rPr>
      </w:pPr>
      <w:r w:rsidRPr="00D70624">
        <w:rPr>
          <w:rFonts w:ascii="MarkPro-Light" w:hAnsi="MarkPro-Light" w:cs="MarkPro-Light"/>
          <w:color w:val="0A0B0B"/>
          <w:sz w:val="24"/>
          <w:szCs w:val="24"/>
        </w:rPr>
        <w:t xml:space="preserve">income-based Jobseekers Allowance </w:t>
      </w:r>
    </w:p>
    <w:p w14:paraId="2879CAAE" w14:textId="4BA3B2F4" w:rsidR="00D70624" w:rsidRPr="00D70624" w:rsidRDefault="00D70624" w:rsidP="00D70624">
      <w:pPr>
        <w:pStyle w:val="ListParagraph"/>
        <w:numPr>
          <w:ilvl w:val="0"/>
          <w:numId w:val="2"/>
        </w:numPr>
        <w:autoSpaceDE w:val="0"/>
        <w:autoSpaceDN w:val="0"/>
        <w:adjustRightInd w:val="0"/>
        <w:spacing w:after="27" w:line="240" w:lineRule="auto"/>
        <w:rPr>
          <w:rFonts w:ascii="MarkPro-Light" w:hAnsi="MarkPro-Light" w:cs="MarkPro-Light"/>
          <w:color w:val="0A0B0B"/>
          <w:sz w:val="24"/>
          <w:szCs w:val="24"/>
        </w:rPr>
      </w:pPr>
      <w:r w:rsidRPr="00D70624">
        <w:rPr>
          <w:rFonts w:ascii="MarkPro-Light" w:hAnsi="MarkPro-Light" w:cs="MarkPro-Light"/>
          <w:color w:val="0A0B0B"/>
          <w:sz w:val="24"/>
          <w:szCs w:val="24"/>
        </w:rPr>
        <w:t xml:space="preserve">income-related Employment and Support Allowance (ESA) </w:t>
      </w:r>
    </w:p>
    <w:p w14:paraId="63613DE4" w14:textId="60408784" w:rsidR="00D70624" w:rsidRPr="00D70624" w:rsidRDefault="00D70624" w:rsidP="00D70624">
      <w:pPr>
        <w:pStyle w:val="ListParagraph"/>
        <w:numPr>
          <w:ilvl w:val="0"/>
          <w:numId w:val="2"/>
        </w:numPr>
        <w:autoSpaceDE w:val="0"/>
        <w:autoSpaceDN w:val="0"/>
        <w:adjustRightInd w:val="0"/>
        <w:spacing w:after="27" w:line="240" w:lineRule="auto"/>
        <w:rPr>
          <w:rFonts w:ascii="MarkPro-Light" w:hAnsi="MarkPro-Light" w:cs="MarkPro-Light"/>
          <w:color w:val="0A0B0B"/>
          <w:sz w:val="24"/>
          <w:szCs w:val="24"/>
        </w:rPr>
      </w:pPr>
      <w:r w:rsidRPr="00D70624">
        <w:rPr>
          <w:rFonts w:ascii="MarkPro-Light" w:hAnsi="MarkPro-Light" w:cs="MarkPro-Light"/>
          <w:color w:val="0A0B0B"/>
          <w:sz w:val="24"/>
          <w:szCs w:val="24"/>
        </w:rPr>
        <w:t xml:space="preserve">support under part VI of the Immigration and Asylum Act 1999 </w:t>
      </w:r>
    </w:p>
    <w:p w14:paraId="24903503" w14:textId="3D719738" w:rsidR="00D70624" w:rsidRPr="00D70624" w:rsidRDefault="00D70624" w:rsidP="00D70624">
      <w:pPr>
        <w:pStyle w:val="ListParagraph"/>
        <w:numPr>
          <w:ilvl w:val="0"/>
          <w:numId w:val="2"/>
        </w:numPr>
        <w:autoSpaceDE w:val="0"/>
        <w:autoSpaceDN w:val="0"/>
        <w:adjustRightInd w:val="0"/>
        <w:spacing w:after="27" w:line="240" w:lineRule="auto"/>
        <w:rPr>
          <w:rFonts w:ascii="MarkPro-Light" w:hAnsi="MarkPro-Light" w:cs="MarkPro-Light"/>
          <w:color w:val="0A0B0B"/>
          <w:sz w:val="24"/>
          <w:szCs w:val="24"/>
        </w:rPr>
      </w:pPr>
      <w:r w:rsidRPr="00D70624">
        <w:rPr>
          <w:rFonts w:ascii="MarkPro-Light" w:hAnsi="MarkPro-Light" w:cs="MarkPro-Light"/>
          <w:color w:val="0A0B0B"/>
          <w:sz w:val="24"/>
          <w:szCs w:val="24"/>
        </w:rPr>
        <w:t xml:space="preserve">the guaranteed element of State Pension Credit </w:t>
      </w:r>
    </w:p>
    <w:p w14:paraId="4B4E7E1E" w14:textId="5D988703" w:rsidR="00D70624" w:rsidRPr="00D70624" w:rsidRDefault="00D70624" w:rsidP="00D70624">
      <w:pPr>
        <w:pStyle w:val="ListParagraph"/>
        <w:numPr>
          <w:ilvl w:val="0"/>
          <w:numId w:val="2"/>
        </w:numPr>
        <w:autoSpaceDE w:val="0"/>
        <w:autoSpaceDN w:val="0"/>
        <w:adjustRightInd w:val="0"/>
        <w:spacing w:after="27" w:line="240" w:lineRule="auto"/>
        <w:rPr>
          <w:rFonts w:ascii="MarkPro-Light" w:hAnsi="MarkPro-Light" w:cs="MarkPro-Light"/>
          <w:color w:val="0A0B0B"/>
          <w:sz w:val="24"/>
          <w:szCs w:val="24"/>
        </w:rPr>
      </w:pPr>
      <w:r w:rsidRPr="00D70624">
        <w:rPr>
          <w:rFonts w:ascii="MarkPro-Light" w:hAnsi="MarkPro-Light" w:cs="MarkPro-Light"/>
          <w:color w:val="0A0B0B"/>
          <w:sz w:val="24"/>
          <w:szCs w:val="24"/>
        </w:rPr>
        <w:t xml:space="preserve">Child Tax Credit (provided they are not entitled to Working Tax Credit and have an annual gross income of no more than £16,190, as assessed by Her Majesty’s Revenue and Customs (HMRC)) </w:t>
      </w:r>
    </w:p>
    <w:p w14:paraId="1D49306C" w14:textId="4772C434" w:rsidR="00D70624" w:rsidRPr="00D70624" w:rsidRDefault="00D70624" w:rsidP="00D70624">
      <w:pPr>
        <w:pStyle w:val="ListParagraph"/>
        <w:numPr>
          <w:ilvl w:val="0"/>
          <w:numId w:val="2"/>
        </w:numPr>
        <w:autoSpaceDE w:val="0"/>
        <w:autoSpaceDN w:val="0"/>
        <w:adjustRightInd w:val="0"/>
        <w:spacing w:after="27" w:line="240" w:lineRule="auto"/>
        <w:rPr>
          <w:rFonts w:ascii="MarkPro-Light" w:hAnsi="MarkPro-Light" w:cs="MarkPro-Light"/>
          <w:color w:val="0A0B0B"/>
          <w:sz w:val="24"/>
          <w:szCs w:val="24"/>
        </w:rPr>
      </w:pPr>
      <w:r w:rsidRPr="00D70624">
        <w:rPr>
          <w:rFonts w:ascii="MarkPro-Light" w:hAnsi="MarkPro-Light" w:cs="MarkPro-Light"/>
          <w:color w:val="0A0B0B"/>
          <w:sz w:val="24"/>
          <w:szCs w:val="24"/>
        </w:rPr>
        <w:t xml:space="preserve">Working Tax Credit run-on – paid for 4 weeks after someone stops qualifying for Working Tax Credit </w:t>
      </w:r>
    </w:p>
    <w:p w14:paraId="1BD36BD0" w14:textId="18DDD416" w:rsidR="00D70624" w:rsidRPr="00D70624" w:rsidRDefault="00D70624" w:rsidP="00D70624">
      <w:pPr>
        <w:pStyle w:val="ListParagraph"/>
        <w:numPr>
          <w:ilvl w:val="0"/>
          <w:numId w:val="2"/>
        </w:numPr>
        <w:autoSpaceDE w:val="0"/>
        <w:autoSpaceDN w:val="0"/>
        <w:adjustRightInd w:val="0"/>
        <w:spacing w:after="0" w:line="240" w:lineRule="auto"/>
        <w:rPr>
          <w:rFonts w:ascii="MarkPro-Light" w:hAnsi="MarkPro-Light" w:cs="MarkPro-Light"/>
          <w:color w:val="0A0B0B"/>
          <w:sz w:val="24"/>
          <w:szCs w:val="24"/>
        </w:rPr>
      </w:pPr>
      <w:r w:rsidRPr="00D70624">
        <w:rPr>
          <w:rFonts w:ascii="MarkPro-Light" w:hAnsi="MarkPro-Light" w:cs="MarkPro-Light"/>
          <w:color w:val="0A0B0B"/>
          <w:sz w:val="24"/>
          <w:szCs w:val="24"/>
        </w:rPr>
        <w:t xml:space="preserve">UC with net earnings not exceeding the equivalent of £7,400 pa (after tax and not including any benefits you get) </w:t>
      </w:r>
    </w:p>
    <w:p w14:paraId="18DBD678" w14:textId="77777777" w:rsidR="00D70624" w:rsidRPr="00D70624" w:rsidRDefault="00D70624" w:rsidP="00D70624">
      <w:pPr>
        <w:autoSpaceDE w:val="0"/>
        <w:autoSpaceDN w:val="0"/>
        <w:adjustRightInd w:val="0"/>
        <w:spacing w:after="0" w:line="240" w:lineRule="auto"/>
        <w:rPr>
          <w:rFonts w:ascii="MarkPro-Light" w:hAnsi="MarkPro-Light" w:cs="MarkPro-Light"/>
          <w:color w:val="0A0B0B"/>
          <w:sz w:val="24"/>
          <w:szCs w:val="24"/>
        </w:rPr>
      </w:pPr>
    </w:p>
    <w:p w14:paraId="336CB2C0" w14:textId="44BF6D25" w:rsidR="00D70624" w:rsidRPr="00D70624" w:rsidRDefault="00D70624" w:rsidP="00D70624">
      <w:pPr>
        <w:rPr>
          <w:rFonts w:ascii="MarkPro-Light" w:hAnsi="MarkPro-Light" w:cs="MarkPro-Light"/>
          <w:color w:val="0A0B0B"/>
          <w:sz w:val="24"/>
          <w:szCs w:val="24"/>
        </w:rPr>
      </w:pPr>
      <w:r w:rsidRPr="00D70624">
        <w:rPr>
          <w:rFonts w:ascii="MarkPro-Light" w:hAnsi="MarkPro-Light" w:cs="MarkPro-Light"/>
          <w:color w:val="000000"/>
          <w:sz w:val="24"/>
          <w:szCs w:val="24"/>
        </w:rPr>
        <w:lastRenderedPageBreak/>
        <w:t xml:space="preserve">Please note that students or parents/carers in receipt of working tax credit only are not entitled to a free meal. </w:t>
      </w:r>
      <w:r w:rsidRPr="00D70624">
        <w:rPr>
          <w:rFonts w:ascii="MarkPro-Light" w:hAnsi="MarkPro-Light" w:cs="MarkPro-Light"/>
          <w:color w:val="0A0B0B"/>
          <w:sz w:val="24"/>
          <w:szCs w:val="24"/>
        </w:rPr>
        <w:t>Qualifying benefits do include the Working Tax Credit run-on which is paid for 4 weeks after you stop qualifying for Working Tax Credit.</w:t>
      </w:r>
    </w:p>
    <w:p w14:paraId="4C5BE3E6" w14:textId="77777777" w:rsidR="00D70624" w:rsidRPr="00D70624" w:rsidRDefault="00D70624" w:rsidP="00D70624">
      <w:pPr>
        <w:rPr>
          <w:rFonts w:ascii="MarkPro-Light" w:hAnsi="MarkPro-Light" w:cs="MarkPro-Light"/>
          <w:color w:val="0A0B0B"/>
          <w:sz w:val="24"/>
          <w:szCs w:val="24"/>
        </w:rPr>
      </w:pPr>
    </w:p>
    <w:p w14:paraId="27652F81" w14:textId="6F306F4D" w:rsidR="00D70624" w:rsidRPr="00D70624" w:rsidRDefault="00D70624" w:rsidP="00D70624">
      <w:pPr>
        <w:rPr>
          <w:sz w:val="24"/>
          <w:szCs w:val="24"/>
        </w:rPr>
      </w:pPr>
      <w:r w:rsidRPr="00D70624">
        <w:rPr>
          <w:sz w:val="24"/>
          <w:szCs w:val="24"/>
        </w:rPr>
        <w:t>Further information on eligibility is available in the ESFA guidance:</w:t>
      </w:r>
    </w:p>
    <w:p w14:paraId="05E697D7" w14:textId="7AA628A4" w:rsidR="00D70624" w:rsidRPr="00D70624" w:rsidRDefault="00135E34" w:rsidP="00D70624">
      <w:pPr>
        <w:rPr>
          <w:sz w:val="24"/>
          <w:szCs w:val="24"/>
        </w:rPr>
      </w:pPr>
      <w:hyperlink r:id="rId14" w:history="1">
        <w:r w:rsidR="00D70624" w:rsidRPr="00D70624">
          <w:rPr>
            <w:rStyle w:val="Hyperlink"/>
            <w:sz w:val="24"/>
            <w:szCs w:val="24"/>
          </w:rPr>
          <w:t>https://www.gov.uk/government/publications/free-meals-in-further-education-funded-institutions-guide-2024-to-2025-academic-year</w:t>
        </w:r>
      </w:hyperlink>
    </w:p>
    <w:p w14:paraId="777F5893" w14:textId="77777777" w:rsidR="00D70624" w:rsidRPr="00D70624" w:rsidRDefault="00D70624" w:rsidP="00D70624">
      <w:pPr>
        <w:rPr>
          <w:sz w:val="24"/>
          <w:szCs w:val="24"/>
        </w:rPr>
      </w:pPr>
    </w:p>
    <w:p w14:paraId="0B16A7E3" w14:textId="77777777" w:rsidR="00D70624" w:rsidRPr="00D70624" w:rsidRDefault="00D70624" w:rsidP="00D70624">
      <w:pPr>
        <w:autoSpaceDE w:val="0"/>
        <w:autoSpaceDN w:val="0"/>
        <w:adjustRightInd w:val="0"/>
        <w:spacing w:after="0" w:line="240" w:lineRule="auto"/>
        <w:rPr>
          <w:rFonts w:ascii="MarkPro-Light" w:hAnsi="MarkPro-Light" w:cs="MarkPro-Light"/>
          <w:b/>
          <w:bCs/>
          <w:color w:val="000000"/>
          <w:sz w:val="24"/>
          <w:szCs w:val="24"/>
        </w:rPr>
      </w:pPr>
      <w:r w:rsidRPr="00D70624">
        <w:rPr>
          <w:rFonts w:ascii="MarkPro-Light" w:hAnsi="MarkPro-Light" w:cs="MarkPro-Light"/>
          <w:b/>
          <w:bCs/>
          <w:color w:val="000000"/>
          <w:sz w:val="24"/>
          <w:szCs w:val="24"/>
        </w:rPr>
        <w:t xml:space="preserve">APPLICATION PROCESS </w:t>
      </w:r>
    </w:p>
    <w:p w14:paraId="584ADFE3" w14:textId="77777777" w:rsidR="00D70624" w:rsidRPr="00D70624" w:rsidRDefault="00D70624" w:rsidP="00D70624">
      <w:pPr>
        <w:autoSpaceDE w:val="0"/>
        <w:autoSpaceDN w:val="0"/>
        <w:adjustRightInd w:val="0"/>
        <w:spacing w:after="0" w:line="240" w:lineRule="auto"/>
        <w:rPr>
          <w:rFonts w:ascii="MarkPro-Light" w:hAnsi="MarkPro-Light" w:cs="MarkPro-Light"/>
          <w:color w:val="000000"/>
          <w:sz w:val="24"/>
          <w:szCs w:val="24"/>
        </w:rPr>
      </w:pPr>
    </w:p>
    <w:p w14:paraId="631FBD18" w14:textId="77777777" w:rsidR="00D70624" w:rsidRPr="00D70624" w:rsidRDefault="00D70624" w:rsidP="00D70624">
      <w:pPr>
        <w:autoSpaceDE w:val="0"/>
        <w:autoSpaceDN w:val="0"/>
        <w:adjustRightInd w:val="0"/>
        <w:spacing w:after="0" w:line="240" w:lineRule="auto"/>
        <w:rPr>
          <w:rFonts w:ascii="MarkPro-Light" w:hAnsi="MarkPro-Light" w:cs="MarkPro-Light"/>
          <w:color w:val="000000"/>
          <w:sz w:val="24"/>
          <w:szCs w:val="24"/>
        </w:rPr>
      </w:pPr>
      <w:r w:rsidRPr="00D70624">
        <w:rPr>
          <w:rFonts w:ascii="MarkPro-Light" w:hAnsi="MarkPro-Light" w:cs="MarkPro-Light"/>
          <w:color w:val="000000"/>
          <w:sz w:val="24"/>
          <w:szCs w:val="24"/>
        </w:rPr>
        <w:t xml:space="preserve">Please contact the College if you would like to discuss this guidance further or make an application. </w:t>
      </w:r>
    </w:p>
    <w:p w14:paraId="2AB4DDFF" w14:textId="77777777" w:rsidR="00D70624" w:rsidRPr="00D70624" w:rsidRDefault="00D70624" w:rsidP="00D70624">
      <w:pPr>
        <w:autoSpaceDE w:val="0"/>
        <w:autoSpaceDN w:val="0"/>
        <w:adjustRightInd w:val="0"/>
        <w:spacing w:after="0" w:line="240" w:lineRule="auto"/>
        <w:rPr>
          <w:rFonts w:ascii="MarkPro-Light" w:hAnsi="MarkPro-Light" w:cs="MarkPro-Light"/>
          <w:color w:val="000000"/>
          <w:sz w:val="24"/>
          <w:szCs w:val="24"/>
        </w:rPr>
      </w:pPr>
    </w:p>
    <w:p w14:paraId="7F337705" w14:textId="03F0FDD0" w:rsidR="00D70624" w:rsidRPr="00D70624" w:rsidRDefault="00D70624" w:rsidP="00D70624">
      <w:pPr>
        <w:autoSpaceDE w:val="0"/>
        <w:autoSpaceDN w:val="0"/>
        <w:adjustRightInd w:val="0"/>
        <w:spacing w:after="0" w:line="240" w:lineRule="auto"/>
        <w:rPr>
          <w:rFonts w:ascii="MarkPro-Light" w:hAnsi="MarkPro-Light" w:cs="MarkPro-Light"/>
          <w:color w:val="000000"/>
          <w:sz w:val="24"/>
          <w:szCs w:val="24"/>
        </w:rPr>
      </w:pPr>
      <w:r w:rsidRPr="00D70624">
        <w:rPr>
          <w:rFonts w:ascii="MarkPro-Light" w:hAnsi="MarkPro-Light" w:cs="MarkPro-Light"/>
          <w:color w:val="000000"/>
          <w:sz w:val="24"/>
          <w:szCs w:val="24"/>
        </w:rPr>
        <w:t xml:space="preserve">Application deadline is 18 October 2024 for students where your local authority has agreed funding for your study programme. </w:t>
      </w:r>
    </w:p>
    <w:p w14:paraId="275D6055" w14:textId="438DFE12" w:rsidR="00D70624" w:rsidRPr="00D70624" w:rsidRDefault="00D70624" w:rsidP="00D70624">
      <w:pPr>
        <w:rPr>
          <w:rFonts w:ascii="Calibri" w:hAnsi="Calibri" w:cs="Calibri"/>
          <w:sz w:val="24"/>
          <w:szCs w:val="24"/>
        </w:rPr>
      </w:pPr>
      <w:r w:rsidRPr="00D70624">
        <w:rPr>
          <w:rFonts w:ascii="MarkPro-Light" w:hAnsi="MarkPro-Light" w:cs="MarkPro-Light"/>
          <w:color w:val="000000"/>
          <w:sz w:val="24"/>
          <w:szCs w:val="24"/>
        </w:rPr>
        <w:br/>
        <w:t>Please contact the College to discuss extended deadlines, where you wish to make an application for a student who commences their study programme after 18 October 2024.</w:t>
      </w:r>
    </w:p>
    <w:sectPr w:rsidR="00D70624" w:rsidRPr="00D70624" w:rsidSect="00D70624">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7069B" w14:textId="77777777" w:rsidR="00D70624" w:rsidRDefault="00D70624" w:rsidP="00D70624">
      <w:pPr>
        <w:spacing w:after="0" w:line="240" w:lineRule="auto"/>
      </w:pPr>
      <w:r>
        <w:separator/>
      </w:r>
    </w:p>
  </w:endnote>
  <w:endnote w:type="continuationSeparator" w:id="0">
    <w:p w14:paraId="0535985B" w14:textId="77777777" w:rsidR="00D70624" w:rsidRDefault="00D70624" w:rsidP="00D7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rk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2519787"/>
      <w:docPartObj>
        <w:docPartGallery w:val="Page Numbers (Bottom of Page)"/>
        <w:docPartUnique/>
      </w:docPartObj>
    </w:sdtPr>
    <w:sdtEndPr/>
    <w:sdtContent>
      <w:p w14:paraId="4E18766F" w14:textId="29BFEC33" w:rsidR="00D70624" w:rsidRDefault="00D70624">
        <w:pPr>
          <w:pStyle w:val="Footer"/>
          <w:jc w:val="center"/>
        </w:pPr>
        <w:r>
          <w:fldChar w:fldCharType="begin"/>
        </w:r>
        <w:r>
          <w:instrText>PAGE   \* MERGEFORMAT</w:instrText>
        </w:r>
        <w:r>
          <w:fldChar w:fldCharType="separate"/>
        </w:r>
        <w:r>
          <w:t>2</w:t>
        </w:r>
        <w:r>
          <w:fldChar w:fldCharType="end"/>
        </w:r>
      </w:p>
    </w:sdtContent>
  </w:sdt>
  <w:p w14:paraId="3BFE677C" w14:textId="440CF6C1" w:rsidR="00D70624" w:rsidRDefault="00D70624">
    <w:pPr>
      <w:pStyle w:val="Footer"/>
    </w:pPr>
    <w:r>
      <w:t xml:space="preserve">July 2024 </w:t>
    </w:r>
    <w:r>
      <w:tab/>
    </w:r>
    <w:r>
      <w:tab/>
      <w:t>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2508647"/>
      <w:docPartObj>
        <w:docPartGallery w:val="Page Numbers (Bottom of Page)"/>
        <w:docPartUnique/>
      </w:docPartObj>
    </w:sdtPr>
    <w:sdtEndPr/>
    <w:sdtContent>
      <w:p w14:paraId="6214EA76" w14:textId="77777777" w:rsidR="00D70624" w:rsidRDefault="00D70624">
        <w:pPr>
          <w:pStyle w:val="Footer"/>
          <w:jc w:val="center"/>
        </w:pPr>
        <w:r>
          <w:fldChar w:fldCharType="begin"/>
        </w:r>
        <w:r>
          <w:instrText>PAGE   \* MERGEFORMAT</w:instrText>
        </w:r>
        <w:r>
          <w:fldChar w:fldCharType="separate"/>
        </w:r>
        <w:r>
          <w:t>2</w:t>
        </w:r>
        <w:r>
          <w:fldChar w:fldCharType="end"/>
        </w:r>
      </w:p>
      <w:p w14:paraId="63D7A0BB" w14:textId="57D1D508" w:rsidR="00D70624" w:rsidRDefault="00D70624" w:rsidP="00D70624">
        <w:pPr>
          <w:pStyle w:val="Footer"/>
        </w:pPr>
        <w:r>
          <w:t xml:space="preserve">July 2024 </w:t>
        </w:r>
        <w:r>
          <w:tab/>
        </w:r>
        <w:r>
          <w:tab/>
          <w:t>V1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4583319"/>
      <w:docPartObj>
        <w:docPartGallery w:val="Page Numbers (Bottom of Page)"/>
        <w:docPartUnique/>
      </w:docPartObj>
    </w:sdtPr>
    <w:sdtEndPr/>
    <w:sdtContent>
      <w:p w14:paraId="00B9AC7F" w14:textId="241D6020" w:rsidR="00D70624" w:rsidRDefault="00D70624">
        <w:pPr>
          <w:pStyle w:val="Footer"/>
          <w:jc w:val="center"/>
        </w:pPr>
        <w:r>
          <w:fldChar w:fldCharType="begin"/>
        </w:r>
        <w:r>
          <w:instrText>PAGE   \* MERGEFORMAT</w:instrText>
        </w:r>
        <w:r>
          <w:fldChar w:fldCharType="separate"/>
        </w:r>
        <w:r>
          <w:t>2</w:t>
        </w:r>
        <w:r>
          <w:fldChar w:fldCharType="end"/>
        </w:r>
      </w:p>
    </w:sdtContent>
  </w:sdt>
  <w:p w14:paraId="2524A39C" w14:textId="1B31A02B" w:rsidR="00D70624" w:rsidRDefault="00D70624" w:rsidP="00D70624">
    <w:pPr>
      <w:pStyle w:val="Footer"/>
    </w:pPr>
    <w:r>
      <w:t xml:space="preserve">July 2024 </w:t>
    </w:r>
    <w:r>
      <w:tab/>
    </w:r>
    <w:r>
      <w:tab/>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C6F63" w14:textId="77777777" w:rsidR="00D70624" w:rsidRDefault="00D70624" w:rsidP="00D70624">
      <w:pPr>
        <w:spacing w:after="0" w:line="240" w:lineRule="auto"/>
      </w:pPr>
      <w:r>
        <w:separator/>
      </w:r>
    </w:p>
  </w:footnote>
  <w:footnote w:type="continuationSeparator" w:id="0">
    <w:p w14:paraId="08085BCE" w14:textId="77777777" w:rsidR="00D70624" w:rsidRDefault="00D70624" w:rsidP="00D70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83661"/>
    <w:multiLevelType w:val="hybridMultilevel"/>
    <w:tmpl w:val="12746E3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C552095"/>
    <w:multiLevelType w:val="hybridMultilevel"/>
    <w:tmpl w:val="5600D0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2540237">
    <w:abstractNumId w:val="1"/>
  </w:num>
  <w:num w:numId="2" w16cid:durableId="1576285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24"/>
    <w:rsid w:val="00135E34"/>
    <w:rsid w:val="004F7202"/>
    <w:rsid w:val="005E379A"/>
    <w:rsid w:val="00612139"/>
    <w:rsid w:val="00942193"/>
    <w:rsid w:val="00B4257B"/>
    <w:rsid w:val="00D70624"/>
    <w:rsid w:val="00E64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422F2"/>
  <w15:chartTrackingRefBased/>
  <w15:docId w15:val="{8D0E7D46-52BD-4083-8B45-074D410C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6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6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6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6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6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6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6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6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6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6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6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6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6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6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6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6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6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624"/>
    <w:rPr>
      <w:rFonts w:eastAsiaTheme="majorEastAsia" w:cstheme="majorBidi"/>
      <w:color w:val="272727" w:themeColor="text1" w:themeTint="D8"/>
    </w:rPr>
  </w:style>
  <w:style w:type="paragraph" w:styleId="Title">
    <w:name w:val="Title"/>
    <w:basedOn w:val="Normal"/>
    <w:next w:val="Normal"/>
    <w:link w:val="TitleChar"/>
    <w:uiPriority w:val="10"/>
    <w:qFormat/>
    <w:rsid w:val="00D70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6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6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6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624"/>
    <w:pPr>
      <w:spacing w:before="160"/>
      <w:jc w:val="center"/>
    </w:pPr>
    <w:rPr>
      <w:i/>
      <w:iCs/>
      <w:color w:val="404040" w:themeColor="text1" w:themeTint="BF"/>
    </w:rPr>
  </w:style>
  <w:style w:type="character" w:customStyle="1" w:styleId="QuoteChar">
    <w:name w:val="Quote Char"/>
    <w:basedOn w:val="DefaultParagraphFont"/>
    <w:link w:val="Quote"/>
    <w:uiPriority w:val="29"/>
    <w:rsid w:val="00D70624"/>
    <w:rPr>
      <w:i/>
      <w:iCs/>
      <w:color w:val="404040" w:themeColor="text1" w:themeTint="BF"/>
    </w:rPr>
  </w:style>
  <w:style w:type="paragraph" w:styleId="ListParagraph">
    <w:name w:val="List Paragraph"/>
    <w:basedOn w:val="Normal"/>
    <w:uiPriority w:val="34"/>
    <w:qFormat/>
    <w:rsid w:val="00D70624"/>
    <w:pPr>
      <w:ind w:left="720"/>
      <w:contextualSpacing/>
    </w:pPr>
  </w:style>
  <w:style w:type="character" w:styleId="IntenseEmphasis">
    <w:name w:val="Intense Emphasis"/>
    <w:basedOn w:val="DefaultParagraphFont"/>
    <w:uiPriority w:val="21"/>
    <w:qFormat/>
    <w:rsid w:val="00D70624"/>
    <w:rPr>
      <w:i/>
      <w:iCs/>
      <w:color w:val="0F4761" w:themeColor="accent1" w:themeShade="BF"/>
    </w:rPr>
  </w:style>
  <w:style w:type="paragraph" w:styleId="IntenseQuote">
    <w:name w:val="Intense Quote"/>
    <w:basedOn w:val="Normal"/>
    <w:next w:val="Normal"/>
    <w:link w:val="IntenseQuoteChar"/>
    <w:uiPriority w:val="30"/>
    <w:qFormat/>
    <w:rsid w:val="00D70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624"/>
    <w:rPr>
      <w:i/>
      <w:iCs/>
      <w:color w:val="0F4761" w:themeColor="accent1" w:themeShade="BF"/>
    </w:rPr>
  </w:style>
  <w:style w:type="character" w:styleId="IntenseReference">
    <w:name w:val="Intense Reference"/>
    <w:basedOn w:val="DefaultParagraphFont"/>
    <w:uiPriority w:val="32"/>
    <w:qFormat/>
    <w:rsid w:val="00D70624"/>
    <w:rPr>
      <w:b/>
      <w:bCs/>
      <w:smallCaps/>
      <w:color w:val="0F4761" w:themeColor="accent1" w:themeShade="BF"/>
      <w:spacing w:val="5"/>
    </w:rPr>
  </w:style>
  <w:style w:type="paragraph" w:customStyle="1" w:styleId="Default">
    <w:name w:val="Default"/>
    <w:rsid w:val="00D7062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70624"/>
    <w:rPr>
      <w:color w:val="467886" w:themeColor="hyperlink"/>
      <w:u w:val="single"/>
    </w:rPr>
  </w:style>
  <w:style w:type="character" w:styleId="UnresolvedMention">
    <w:name w:val="Unresolved Mention"/>
    <w:basedOn w:val="DefaultParagraphFont"/>
    <w:uiPriority w:val="99"/>
    <w:semiHidden/>
    <w:unhideWhenUsed/>
    <w:rsid w:val="00D70624"/>
    <w:rPr>
      <w:color w:val="605E5C"/>
      <w:shd w:val="clear" w:color="auto" w:fill="E1DFDD"/>
    </w:rPr>
  </w:style>
  <w:style w:type="paragraph" w:styleId="Header">
    <w:name w:val="header"/>
    <w:basedOn w:val="Normal"/>
    <w:link w:val="HeaderChar"/>
    <w:uiPriority w:val="99"/>
    <w:unhideWhenUsed/>
    <w:rsid w:val="00D70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624"/>
  </w:style>
  <w:style w:type="paragraph" w:styleId="Footer">
    <w:name w:val="footer"/>
    <w:basedOn w:val="Normal"/>
    <w:link w:val="FooterChar"/>
    <w:uiPriority w:val="99"/>
    <w:unhideWhenUsed/>
    <w:rsid w:val="00D70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free-meals-in-further-education-funded-institutions-guide-2024-to-2025-academic-year/free-meals-in-further-education-funded-institutions-guide-2024-to-2025-academic-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02A2BE98FC354B8CA11113F614058C" ma:contentTypeVersion="20" ma:contentTypeDescription="Create a new document." ma:contentTypeScope="" ma:versionID="bcd02ef18f4b03fc368b0a9b038eb9c0">
  <xsd:schema xmlns:xsd="http://www.w3.org/2001/XMLSchema" xmlns:xs="http://www.w3.org/2001/XMLSchema" xmlns:p="http://schemas.microsoft.com/office/2006/metadata/properties" xmlns:ns2="8a4a3e02-25a9-40e4-b386-16c37a6ddc77" xmlns:ns3="90d86b2e-2f57-4425-824e-f6b632c98ba0" targetNamespace="http://schemas.microsoft.com/office/2006/metadata/properties" ma:root="true" ma:fieldsID="62d84c94f9e1bafaa2a29346c698852a" ns2:_="" ns3:_="">
    <xsd:import namespace="8a4a3e02-25a9-40e4-b386-16c37a6ddc77"/>
    <xsd:import namespace="90d86b2e-2f57-4425-824e-f6b632c98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DocumentDate" minOccurs="0"/>
                <xsd:element ref="ns2:MediaServiceSearchProperties" minOccurs="0"/>
                <xsd:element ref="ns2:ContentAl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a3e02-25a9-40e4-b386-16c37a6dd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c516e3-133c-4891-b209-036f3d9e8c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DocumentDate" ma:index="25" nillable="true" ma:displayName="Document Date" ma:format="DateOnly" ma:internalName="DocumentDat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ontentAlert" ma:index="27" nillable="true" ma:displayName="Content Alert" ma:format="Dropdown" ma:internalName="ContentAler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d86b2e-2f57-4425-824e-f6b632c98b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a7993a-5db4-4d4c-ad1c-989669e70f00}" ma:internalName="TaxCatchAll" ma:showField="CatchAllData" ma:web="90d86b2e-2f57-4425-824e-f6b632c98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4a3e02-25a9-40e4-b386-16c37a6ddc77">
      <Terms xmlns="http://schemas.microsoft.com/office/infopath/2007/PartnerControls"/>
    </lcf76f155ced4ddcb4097134ff3c332f>
    <DocumentDate xmlns="8a4a3e02-25a9-40e4-b386-16c37a6ddc77" xsi:nil="true"/>
    <TaxCatchAll xmlns="90d86b2e-2f57-4425-824e-f6b632c98ba0" xsi:nil="true"/>
    <ContentAlert xmlns="8a4a3e02-25a9-40e4-b386-16c37a6ddc77" xsi:nil="true"/>
  </documentManagement>
</p:properties>
</file>

<file path=customXml/itemProps1.xml><?xml version="1.0" encoding="utf-8"?>
<ds:datastoreItem xmlns:ds="http://schemas.openxmlformats.org/officeDocument/2006/customXml" ds:itemID="{E3A9AD36-4E83-419C-9362-68F278CCCDD0}">
  <ds:schemaRefs>
    <ds:schemaRef ds:uri="http://schemas.microsoft.com/sharepoint/v3/contenttype/forms"/>
  </ds:schemaRefs>
</ds:datastoreItem>
</file>

<file path=customXml/itemProps2.xml><?xml version="1.0" encoding="utf-8"?>
<ds:datastoreItem xmlns:ds="http://schemas.openxmlformats.org/officeDocument/2006/customXml" ds:itemID="{33E48A86-BEEF-4124-B4DA-0A57A9810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a3e02-25a9-40e4-b386-16c37a6ddc77"/>
    <ds:schemaRef ds:uri="90d86b2e-2f57-4425-824e-f6b632c98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4A680-AE81-4C09-86E9-5F92B51B3777}">
  <ds:schemaRefs>
    <ds:schemaRef ds:uri="http://schemas.microsoft.com/office/2006/metadata/properties"/>
    <ds:schemaRef ds:uri="http://schemas.microsoft.com/office/infopath/2007/PartnerControls"/>
    <ds:schemaRef ds:uri="8a4a3e02-25a9-40e4-b386-16c37a6ddc77"/>
    <ds:schemaRef ds:uri="90d86b2e-2f57-4425-824e-f6b632c98b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Manley</dc:creator>
  <cp:keywords/>
  <dc:description/>
  <cp:lastModifiedBy>Caroline Manley</cp:lastModifiedBy>
  <cp:revision>2</cp:revision>
  <dcterms:created xsi:type="dcterms:W3CDTF">2024-06-26T15:20:00Z</dcterms:created>
  <dcterms:modified xsi:type="dcterms:W3CDTF">2024-07-16T12:53:00Z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0x0101007E02A2BE98FC354B8CA11113F614058C</vt:lpwstr>
  </property>
  <property fmtid="{D5CDD505-2E9C-101B-9397-08002B2CF9AE}" pid="3" name="MediaServiceImageTags">
    <vt:lpwstr/>
  </property>
</Properties>
</file>